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A25A" w14:textId="3BC72C79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ŚODR_CZ/0</w:t>
      </w:r>
      <w:r w:rsidR="000A4273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7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/08/2022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>składane w trybie art. 274 ust. 1 dotyczące aktualności informacji zawartych w oświadczeniu, o którym mowa w art. 125 ust. 1 ustawy w zakresie art. 108 ust. 1 ustawy Prawo zamówień publicznych (dalej jako ustawa Pzp)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9702679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 xml:space="preserve">W odpowiedzi na otrzymane w toku postępowania o udzielenie zamówienia publicznego na realizację zadania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„Kompleksowa obsługa szkoleń w projekcie realizowanym przez Śląski Ośrodek Doradztwa Rolniczego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w Częstochowie w ramach poddziałania 1.1. „Wsparcie dla działań w zakresie kształcenia zawodowego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 xml:space="preserve">i nabywania umiejętności” w ramach działania „Transfer wiedzy i działalność informacyjna” objętego Programem Rozwoju Obszarów Wiejskich na lata 2014–2020” </w:t>
      </w:r>
      <w:r w:rsidRPr="004E454A">
        <w:rPr>
          <w:rFonts w:asciiTheme="minorHAnsi" w:hAnsiTheme="minorHAnsi" w:cstheme="minorHAnsi"/>
          <w:b/>
          <w:bCs/>
          <w:color w:val="000000"/>
          <w:sz w:val="24"/>
          <w:szCs w:val="24"/>
        </w:rPr>
        <w:t>Dla operacji „Ochrona różnorodności biologicznej w warunkach produkcji rolnej”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4E454A">
        <w:rPr>
          <w:rFonts w:asciiTheme="minorHAnsi" w:hAnsiTheme="minorHAnsi" w:cstheme="minorHAnsi"/>
          <w:sz w:val="24"/>
          <w:szCs w:val="24"/>
        </w:rPr>
        <w:t xml:space="preserve"> 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45B9" w14:textId="77777777" w:rsidR="00082722" w:rsidRDefault="00082722" w:rsidP="00C276FF">
      <w:r>
        <w:separator/>
      </w:r>
    </w:p>
  </w:endnote>
  <w:endnote w:type="continuationSeparator" w:id="0">
    <w:p w14:paraId="3D63D912" w14:textId="77777777" w:rsidR="00082722" w:rsidRDefault="00082722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1353" w14:textId="77777777" w:rsidR="00082722" w:rsidRDefault="00082722" w:rsidP="00C276FF">
      <w:r>
        <w:separator/>
      </w:r>
    </w:p>
  </w:footnote>
  <w:footnote w:type="continuationSeparator" w:id="0">
    <w:p w14:paraId="0BBD8BE3" w14:textId="77777777" w:rsidR="00082722" w:rsidRDefault="00082722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2722"/>
    <w:rsid w:val="000873A5"/>
    <w:rsid w:val="000A4273"/>
    <w:rsid w:val="000B03F6"/>
    <w:rsid w:val="003118CF"/>
    <w:rsid w:val="00360647"/>
    <w:rsid w:val="004E454A"/>
    <w:rsid w:val="007018CD"/>
    <w:rsid w:val="008364AD"/>
    <w:rsid w:val="009F6F8E"/>
    <w:rsid w:val="00A161AE"/>
    <w:rsid w:val="00A812DA"/>
    <w:rsid w:val="00C276FF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3</cp:revision>
  <dcterms:created xsi:type="dcterms:W3CDTF">2022-08-16T22:33:00Z</dcterms:created>
  <dcterms:modified xsi:type="dcterms:W3CDTF">2022-08-25T19:05:00Z</dcterms:modified>
</cp:coreProperties>
</file>